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B77046" w:rsidP="00B77046">
            <w:pPr>
              <w:jc w:val="right"/>
              <w:rPr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proofErr w:type="spellStart"/>
            <w:r>
              <w:t>Хучнинская</w:t>
            </w:r>
            <w:proofErr w:type="spellEnd"/>
            <w:r>
              <w:t xml:space="preserve"> СОШ №2»</w:t>
            </w:r>
          </w:p>
          <w:p w:rsidR="00AC5A47" w:rsidRDefault="00AC5A47" w:rsidP="00AC5A47">
            <w:pPr>
              <w:jc w:val="right"/>
            </w:pPr>
            <w:r>
              <w:t xml:space="preserve">           </w:t>
            </w:r>
            <w:proofErr w:type="spellStart"/>
            <w:r>
              <w:t>_____________Султанов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С</w:t>
            </w:r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 xml:space="preserve">очное,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знаний обучающихся на определённом этапе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2.3.  Определить перспективы индивидуальной работы с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2.4.  Получить объективную информацию об уровне и качестве усвоения знаний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При проведении работы повторно после её анализа отметка выставляется в журнал рядом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существенные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3.13. Оценка  личностных,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основе, мониторинг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 xml:space="preserve">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 xml:space="preserve">азом директора школы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4.8. Список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proofErr w:type="gramStart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</w:t>
        </w:r>
        <w:proofErr w:type="gramEnd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  <w:proofErr w:type="gramEnd"/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83"/>
    <w:rsid w:val="00462983"/>
    <w:rsid w:val="00696B5F"/>
    <w:rsid w:val="007459D8"/>
    <w:rsid w:val="009035C9"/>
    <w:rsid w:val="00AC5A47"/>
    <w:rsid w:val="00B55AC5"/>
    <w:rsid w:val="00B77046"/>
    <w:rsid w:val="00C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2334</Words>
  <Characters>13309</Characters>
  <Application>Microsoft Office Word</Application>
  <DocSecurity>0</DocSecurity>
  <Lines>110</Lines>
  <Paragraphs>31</Paragraphs>
  <ScaleCrop>false</ScaleCrop>
  <Company>Krokoz™</Company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2015-01-19T09:34:00Z</dcterms:created>
  <dcterms:modified xsi:type="dcterms:W3CDTF">2017-05-13T19:21:00Z</dcterms:modified>
</cp:coreProperties>
</file>